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503" w:rsidRPr="00FD2D5E" w:rsidRDefault="0025365A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355503" w:rsidRPr="00FD2D5E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872E39" w:rsidRPr="00FD2D5E" w:rsidRDefault="00872E39" w:rsidP="00872E3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FD2D5E" w:rsidRDefault="00872E39" w:rsidP="00FD2D5E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 w:rsidRPr="00FD2D5E">
        <w:rPr>
          <w:rFonts w:ascii="IRBadr" w:hAnsi="IRBadr" w:cs="IRBadr"/>
          <w:sz w:val="28"/>
          <w:rtl/>
        </w:rPr>
        <w:fldChar w:fldCharType="begin"/>
      </w:r>
      <w:r w:rsidRPr="00FD2D5E">
        <w:rPr>
          <w:rFonts w:ascii="IRBadr" w:hAnsi="IRBadr" w:cs="IRBadr"/>
          <w:sz w:val="28"/>
          <w:rtl/>
        </w:rPr>
        <w:instrText xml:space="preserve"> </w:instrText>
      </w:r>
      <w:r w:rsidRPr="00FD2D5E">
        <w:rPr>
          <w:rFonts w:ascii="IRBadr" w:hAnsi="IRBadr" w:cs="IRBadr"/>
          <w:sz w:val="28"/>
        </w:rPr>
        <w:instrText>TOC</w:instrText>
      </w:r>
      <w:r w:rsidRPr="00FD2D5E">
        <w:rPr>
          <w:rFonts w:ascii="IRBadr" w:hAnsi="IRBadr" w:cs="IRBadr"/>
          <w:sz w:val="28"/>
          <w:rtl/>
        </w:rPr>
        <w:instrText xml:space="preserve"> \</w:instrText>
      </w:r>
      <w:r w:rsidRPr="00FD2D5E">
        <w:rPr>
          <w:rFonts w:ascii="IRBadr" w:hAnsi="IRBadr" w:cs="IRBadr"/>
          <w:sz w:val="28"/>
        </w:rPr>
        <w:instrText>o "</w:instrText>
      </w:r>
      <w:r w:rsidRPr="00FD2D5E">
        <w:rPr>
          <w:rFonts w:ascii="IRBadr" w:hAnsi="IRBadr" w:cs="IRBadr"/>
          <w:sz w:val="28"/>
          <w:rtl/>
        </w:rPr>
        <w:instrText>1-4</w:instrText>
      </w:r>
      <w:r w:rsidRPr="00FD2D5E">
        <w:rPr>
          <w:rFonts w:ascii="IRBadr" w:hAnsi="IRBadr" w:cs="IRBadr"/>
          <w:sz w:val="28"/>
        </w:rPr>
        <w:instrText>" \h \z \u</w:instrText>
      </w:r>
      <w:r w:rsidRPr="00FD2D5E">
        <w:rPr>
          <w:rFonts w:ascii="IRBadr" w:hAnsi="IRBadr" w:cs="IRBadr"/>
          <w:sz w:val="28"/>
          <w:rtl/>
        </w:rPr>
        <w:instrText xml:space="preserve"> </w:instrText>
      </w:r>
      <w:r w:rsidRPr="00FD2D5E">
        <w:rPr>
          <w:rFonts w:ascii="IRBadr" w:hAnsi="IRBadr" w:cs="IRBadr"/>
          <w:sz w:val="28"/>
          <w:rtl/>
        </w:rPr>
        <w:fldChar w:fldCharType="separate"/>
      </w:r>
      <w:hyperlink w:anchor="_Toc427399117" w:history="1">
        <w:r w:rsidR="00FD2D5E" w:rsidRPr="00AC3A1F">
          <w:rPr>
            <w:rStyle w:val="Hyperlink"/>
            <w:rFonts w:ascii="IRBadr" w:hAnsi="IRBadr" w:cs="IRBadr" w:hint="eastAsia"/>
            <w:noProof/>
            <w:rtl/>
          </w:rPr>
          <w:t>شرط</w:t>
        </w:r>
        <w:r w:rsidR="00FD2D5E" w:rsidRPr="00AC3A1F">
          <w:rPr>
            <w:rStyle w:val="Hyperlink"/>
            <w:rFonts w:ascii="IRBadr" w:hAnsi="IRBadr" w:cs="IRBadr" w:hint="cs"/>
            <w:noProof/>
            <w:rtl/>
          </w:rPr>
          <w:t>ی</w:t>
        </w:r>
        <w:r w:rsidR="00FD2D5E" w:rsidRPr="00AC3A1F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FD2D5E"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D2D5E" w:rsidRPr="00AC3A1F">
          <w:rPr>
            <w:rStyle w:val="Hyperlink"/>
            <w:rFonts w:ascii="IRBadr" w:hAnsi="IRBadr" w:cs="IRBadr" w:hint="eastAsia"/>
            <w:noProof/>
            <w:rtl/>
          </w:rPr>
          <w:t>حضور</w:t>
        </w:r>
        <w:r w:rsidR="00FD2D5E"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FD2D5E" w:rsidRPr="00AC3A1F">
          <w:rPr>
            <w:rStyle w:val="Hyperlink"/>
            <w:rFonts w:ascii="IRBadr" w:hAnsi="IRBadr" w:cs="IRBadr" w:hint="eastAsia"/>
            <w:noProof/>
            <w:rtl/>
          </w:rPr>
          <w:t>شهود</w:t>
        </w:r>
        <w:r w:rsidR="00FD2D5E">
          <w:rPr>
            <w:noProof/>
            <w:webHidden/>
          </w:rPr>
          <w:tab/>
        </w:r>
        <w:r w:rsidR="00FD2D5E">
          <w:rPr>
            <w:rStyle w:val="Hyperlink"/>
            <w:noProof/>
            <w:rtl/>
          </w:rPr>
          <w:fldChar w:fldCharType="begin"/>
        </w:r>
        <w:r w:rsidR="00FD2D5E">
          <w:rPr>
            <w:noProof/>
            <w:webHidden/>
          </w:rPr>
          <w:instrText xml:space="preserve"> PAGEREF _Toc427399117 \h </w:instrText>
        </w:r>
        <w:r w:rsidR="00FD2D5E">
          <w:rPr>
            <w:rStyle w:val="Hyperlink"/>
            <w:noProof/>
            <w:rtl/>
          </w:rPr>
        </w:r>
        <w:r w:rsidR="00FD2D5E">
          <w:rPr>
            <w:rStyle w:val="Hyperlink"/>
            <w:noProof/>
            <w:rtl/>
          </w:rPr>
          <w:fldChar w:fldCharType="separate"/>
        </w:r>
        <w:r w:rsidR="00FD2D5E">
          <w:rPr>
            <w:noProof/>
            <w:webHidden/>
          </w:rPr>
          <w:t>2</w:t>
        </w:r>
        <w:r w:rsidR="00FD2D5E">
          <w:rPr>
            <w:rStyle w:val="Hyperlink"/>
            <w:noProof/>
            <w:rtl/>
          </w:rPr>
          <w:fldChar w:fldCharType="end"/>
        </w:r>
      </w:hyperlink>
    </w:p>
    <w:p w:rsidR="00FD2D5E" w:rsidRDefault="00FD2D5E" w:rsidP="00FD2D5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7399118" w:history="1">
        <w:r w:rsidRPr="00AC3A1F">
          <w:rPr>
            <w:rStyle w:val="Hyperlink"/>
            <w:rFonts w:ascii="IRBadr" w:hAnsi="IRBadr" w:cs="IRBadr" w:hint="eastAsia"/>
            <w:noProof/>
            <w:rtl/>
          </w:rPr>
          <w:t>منشأ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_Toc427399118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D2D5E" w:rsidRDefault="00FD2D5E" w:rsidP="00FD2D5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7399119" w:history="1">
        <w:r w:rsidRPr="00AC3A1F">
          <w:rPr>
            <w:rStyle w:val="Hyperlink"/>
            <w:rFonts w:ascii="IRBadr" w:hAnsi="IRBadr" w:cs="IRBadr" w:hint="eastAsia"/>
            <w:noProof/>
            <w:rtl/>
          </w:rPr>
          <w:t>تمه</w:t>
        </w:r>
        <w:r w:rsidRPr="00AC3A1F">
          <w:rPr>
            <w:rStyle w:val="Hyperlink"/>
            <w:rFonts w:ascii="IRBadr" w:hAnsi="IRBadr" w:cs="IRBadr" w:hint="cs"/>
            <w:noProof/>
            <w:rtl/>
          </w:rPr>
          <w:t>ی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د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_Toc427399119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D2D5E" w:rsidRDefault="00FD2D5E" w:rsidP="00FD2D5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399120" w:history="1">
        <w:r w:rsidRPr="00AC3A1F">
          <w:rPr>
            <w:rStyle w:val="Hyperlink"/>
            <w:rFonts w:ascii="IRBadr" w:hAnsi="IRBadr" w:cs="IRBadr" w:hint="eastAsia"/>
            <w:noProof/>
            <w:rtl/>
          </w:rPr>
          <w:t>تنق</w:t>
        </w:r>
        <w:r w:rsidRPr="00AC3A1F">
          <w:rPr>
            <w:rStyle w:val="Hyperlink"/>
            <w:rFonts w:ascii="IRBadr" w:hAnsi="IRBadr" w:cs="IRBadr" w:hint="cs"/>
            <w:noProof/>
            <w:rtl/>
          </w:rPr>
          <w:t>ی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ح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موضع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_Toc427399120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D2D5E" w:rsidRDefault="00FD2D5E" w:rsidP="00FD2D5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399121" w:history="1">
        <w:r w:rsidRPr="00AC3A1F">
          <w:rPr>
            <w:rStyle w:val="Hyperlink"/>
            <w:rFonts w:ascii="IRBadr" w:hAnsi="IRBadr" w:cs="IRBadr" w:hint="eastAsia"/>
            <w:noProof/>
            <w:rtl/>
          </w:rPr>
          <w:t>مبان</w:t>
        </w:r>
        <w:r w:rsidRPr="00AC3A1F">
          <w:rPr>
            <w:rStyle w:val="Hyperlink"/>
            <w:rFonts w:ascii="IRBadr" w:hAnsi="IRBadr" w:cs="IRBadr" w:hint="cs"/>
            <w:noProof/>
            <w:rtl/>
          </w:rPr>
          <w:t>ی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ا</w:t>
        </w:r>
        <w:r w:rsidRPr="00AC3A1F">
          <w:rPr>
            <w:rStyle w:val="Hyperlink"/>
            <w:rFonts w:ascii="IRBadr" w:hAnsi="IRBadr" w:cs="IRBadr" w:hint="cs"/>
            <w:noProof/>
            <w:rtl/>
          </w:rPr>
          <w:t>ی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ن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باب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_Toc427399121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D2D5E" w:rsidRDefault="00FD2D5E" w:rsidP="00FD2D5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399122" w:history="1">
        <w:r w:rsidRPr="00AC3A1F">
          <w:rPr>
            <w:rStyle w:val="Hyperlink"/>
            <w:rFonts w:ascii="IRBadr" w:hAnsi="IRBadr" w:cs="IRBadr" w:hint="eastAsia"/>
            <w:noProof/>
            <w:rtl/>
          </w:rPr>
          <w:t>قائل</w:t>
        </w:r>
        <w:r w:rsidRPr="00AC3A1F">
          <w:rPr>
            <w:rStyle w:val="Hyperlink"/>
            <w:rFonts w:ascii="IRBadr" w:hAnsi="IRBadr" w:cs="IRBadr" w:hint="cs"/>
            <w:noProof/>
            <w:rtl/>
          </w:rPr>
          <w:t>ی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ن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به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شرط</w:t>
        </w:r>
        <w:r w:rsidRPr="00AC3A1F">
          <w:rPr>
            <w:rStyle w:val="Hyperlink"/>
            <w:rFonts w:ascii="IRBadr" w:hAnsi="IRBadr" w:cs="IRBadr" w:hint="cs"/>
            <w:noProof/>
            <w:rtl/>
          </w:rPr>
          <w:t>ی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_Toc427399122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D2D5E" w:rsidRDefault="00FD2D5E" w:rsidP="00FD2D5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399123" w:history="1">
        <w:r w:rsidRPr="00AC3A1F">
          <w:rPr>
            <w:rStyle w:val="Hyperlink"/>
            <w:rFonts w:ascii="IRBadr" w:hAnsi="IRBadr" w:cs="IRBadr" w:hint="eastAsia"/>
            <w:noProof/>
            <w:rtl/>
          </w:rPr>
          <w:t>اقوال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شرط</w:t>
        </w:r>
        <w:r w:rsidRPr="00AC3A1F">
          <w:rPr>
            <w:rStyle w:val="Hyperlink"/>
            <w:rFonts w:ascii="IRBadr" w:hAnsi="IRBadr" w:cs="IRBadr" w:hint="cs"/>
            <w:noProof/>
            <w:rtl/>
          </w:rPr>
          <w:t>ی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_Toc427399123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D2D5E" w:rsidRDefault="00FD2D5E" w:rsidP="00FD2D5E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399124" w:history="1">
        <w:r w:rsidRPr="00AC3A1F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_Toc427399124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D2D5E" w:rsidRDefault="00FD2D5E" w:rsidP="00FD2D5E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399125" w:history="1">
        <w:r w:rsidRPr="00AC3A1F">
          <w:rPr>
            <w:rStyle w:val="Hyperlink"/>
            <w:rFonts w:ascii="IRBadr" w:hAnsi="IRBadr" w:cs="IRBadr" w:hint="eastAsia"/>
            <w:noProof/>
            <w:rtl/>
          </w:rPr>
          <w:t>نقش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قاعده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درء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ا</w:t>
        </w:r>
        <w:r w:rsidRPr="00AC3A1F">
          <w:rPr>
            <w:rStyle w:val="Hyperlink"/>
            <w:rFonts w:ascii="IRBadr" w:hAnsi="IRBadr" w:cs="IRBadr" w:hint="cs"/>
            <w:noProof/>
            <w:rtl/>
          </w:rPr>
          <w:t>ی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ن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مقام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_Toc427399125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D2D5E" w:rsidRDefault="00FD2D5E" w:rsidP="00FD2D5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399126" w:history="1">
        <w:r w:rsidRPr="00AC3A1F">
          <w:rPr>
            <w:rStyle w:val="Hyperlink"/>
            <w:rFonts w:ascii="IRBadr" w:hAnsi="IRBadr" w:cs="IRBadr" w:hint="eastAsia"/>
            <w:noProof/>
            <w:rtl/>
          </w:rPr>
          <w:t>جمع‌بند</w:t>
        </w:r>
        <w:bookmarkStart w:id="0" w:name="_GoBack"/>
        <w:bookmarkEnd w:id="0"/>
        <w:r w:rsidRPr="00AC3A1F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_Toc427399126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FD2D5E" w:rsidRDefault="00FD2D5E" w:rsidP="00FD2D5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7399127" w:history="1">
        <w:r w:rsidRPr="00AC3A1F">
          <w:rPr>
            <w:rStyle w:val="Hyperlink"/>
            <w:rFonts w:ascii="IRBadr" w:hAnsi="IRBadr" w:cs="IRBadr" w:hint="eastAsia"/>
            <w:noProof/>
            <w:rtl/>
          </w:rPr>
          <w:t>دل</w:t>
        </w:r>
        <w:r w:rsidRPr="00AC3A1F">
          <w:rPr>
            <w:rStyle w:val="Hyperlink"/>
            <w:rFonts w:ascii="IRBadr" w:hAnsi="IRBadr" w:cs="IRBadr" w:hint="cs"/>
            <w:noProof/>
            <w:rtl/>
          </w:rPr>
          <w:t>ی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ل</w:t>
        </w:r>
        <w:r w:rsidRPr="00AC3A1F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C3A1F">
          <w:rPr>
            <w:rStyle w:val="Hyperlink"/>
            <w:rFonts w:ascii="IRBadr" w:hAnsi="IRBadr" w:cs="IRBadr"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_Toc427399127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FD2D5E" w:rsidRDefault="00FD2D5E" w:rsidP="00FD2D5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7399128" w:history="1">
        <w:r w:rsidRPr="00AC3A1F">
          <w:rPr>
            <w:rStyle w:val="Hyperlink"/>
            <w:rFonts w:ascii="IRBadr" w:hAnsi="IRBadr" w:cs="IRBadr" w:hint="eastAsia"/>
            <w:noProof/>
            <w:rtl/>
          </w:rPr>
          <w:t>جمع‌بند</w:t>
        </w:r>
        <w:r w:rsidRPr="00AC3A1F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_Toc427399128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872E39" w:rsidRPr="00FD2D5E" w:rsidRDefault="00872E39" w:rsidP="00FD2D5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FD2D5E" w:rsidRDefault="00FD2D5E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r>
        <w:rPr>
          <w:rFonts w:ascii="IRBadr" w:hAnsi="IRBadr" w:cs="IRBadr"/>
          <w:rtl/>
        </w:rPr>
        <w:br w:type="page"/>
      </w:r>
    </w:p>
    <w:p w:rsidR="00A5647F" w:rsidRPr="00FD2D5E" w:rsidRDefault="00825C2E" w:rsidP="00C04F9E">
      <w:pPr>
        <w:pStyle w:val="Heading1"/>
        <w:rPr>
          <w:rFonts w:ascii="IRBadr" w:hAnsi="IRBadr" w:cs="IRBadr"/>
          <w:rtl/>
        </w:rPr>
      </w:pPr>
      <w:bookmarkStart w:id="1" w:name="_Toc427399117"/>
      <w:r w:rsidRPr="00FD2D5E">
        <w:rPr>
          <w:rFonts w:ascii="IRBadr" w:hAnsi="IRBadr" w:cs="IRBadr"/>
          <w:rtl/>
        </w:rPr>
        <w:lastRenderedPageBreak/>
        <w:t>شرطیت حضور شهود</w:t>
      </w:r>
      <w:bookmarkEnd w:id="1"/>
    </w:p>
    <w:p w:rsidR="00A5647F" w:rsidRPr="00FD2D5E" w:rsidRDefault="00825C2E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هفتم این امر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حضور شهود هنگام اجرای حد زنا یا مطلق حدود شرط است یا خیر؟</w:t>
      </w:r>
    </w:p>
    <w:p w:rsidR="00456B12" w:rsidRPr="00FD2D5E" w:rsidRDefault="00456B12" w:rsidP="00872E39">
      <w:pPr>
        <w:pStyle w:val="Heading2"/>
        <w:rPr>
          <w:rFonts w:ascii="IRBadr" w:hAnsi="IRBadr" w:cs="IRBadr"/>
          <w:rtl/>
        </w:rPr>
      </w:pPr>
      <w:bookmarkStart w:id="2" w:name="_Toc427399118"/>
      <w:r w:rsidRPr="00FD2D5E">
        <w:rPr>
          <w:rFonts w:ascii="IRBadr" w:hAnsi="IRBadr" w:cs="IRBadr"/>
          <w:rtl/>
        </w:rPr>
        <w:t>منشأ بحث</w:t>
      </w:r>
      <w:bookmarkEnd w:id="2"/>
    </w:p>
    <w:p w:rsidR="00825C2E" w:rsidRPr="00FD2D5E" w:rsidRDefault="00825C2E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منشأ این سؤال نظریه ایست که از ابی حنیفه در فقه عامه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است و ظهور در این دارد که؛ وجود شهود برای اجرای حد شرط است. طبعاً این شرط با توجه به مناسبات حکم و موضوع روشن است. این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که حد با شهادت و بینه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ثابت‌شده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D90182" w:rsidRPr="00FD2D5E" w:rsidRDefault="00D90182" w:rsidP="00872E39">
      <w:pPr>
        <w:pStyle w:val="Heading2"/>
        <w:rPr>
          <w:rFonts w:ascii="IRBadr" w:hAnsi="IRBadr" w:cs="IRBadr"/>
          <w:rtl/>
        </w:rPr>
      </w:pPr>
      <w:bookmarkStart w:id="3" w:name="_Toc427399119"/>
      <w:r w:rsidRPr="00FD2D5E">
        <w:rPr>
          <w:rFonts w:ascii="IRBadr" w:hAnsi="IRBadr" w:cs="IRBadr"/>
          <w:rtl/>
        </w:rPr>
        <w:t>تمهید بحث</w:t>
      </w:r>
      <w:bookmarkEnd w:id="3"/>
    </w:p>
    <w:p w:rsidR="00456B12" w:rsidRPr="00FD2D5E" w:rsidRDefault="00355503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بنابراین اگر شهود و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بینه‌ای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که شهادت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می‌دهند</w:t>
      </w:r>
      <w:r w:rsidR="00825C2E" w:rsidRPr="00FD2D5E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حاضر نبودند، یا بودند</w:t>
      </w:r>
      <w:r w:rsidR="00825C2E" w:rsidRPr="00FD2D5E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حاضر نشدند، دیگر اجرای حد واجب نیست و ساقط می‌شود.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825C2E" w:rsidRPr="00FD2D5E">
        <w:rPr>
          <w:rFonts w:ascii="IRBadr" w:hAnsi="IRBadr" w:cs="IRBadr"/>
          <w:sz w:val="28"/>
          <w:szCs w:val="28"/>
          <w:rtl/>
          <w:lang w:bidi="fa-IR"/>
        </w:rPr>
        <w:t xml:space="preserve"> حقیقت در اینجا بحث در این نیست که آیا حضور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825C2E" w:rsidRPr="00FD2D5E">
        <w:rPr>
          <w:rFonts w:ascii="IRBadr" w:hAnsi="IRBadr" w:cs="IRBadr"/>
          <w:sz w:val="28"/>
          <w:szCs w:val="28"/>
          <w:rtl/>
          <w:lang w:bidi="fa-IR"/>
        </w:rPr>
        <w:t xml:space="preserve"> جهت شهادت واجب است یا خیر؟ 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بحث این است که حضور آن‌ها شرط است که اگر حاضر نبودند، حد جاری نمی‌شود. و این منافات با این ندارد که حضور واجب نباشد.</w:t>
      </w:r>
    </w:p>
    <w:p w:rsidR="00F24D21" w:rsidRPr="00FD2D5E" w:rsidRDefault="00355503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>فتاوا همه همین است که حضور شرط وجوب حد نیست. بنابراین سه امر را باید از هم تفکیک کرد. یکی وجوب بدء شهود بالحد، یکی وجوب حضور فی حد نفسه و یکی هم شرطیت حضور برای اجرای حد</w:t>
      </w:r>
      <w:r w:rsidR="00F24D21" w:rsidRPr="00FD2D5E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ممکن است کسی بگوید حضور</w:t>
      </w:r>
      <w:r w:rsidR="00F24D21" w:rsidRPr="00FD2D5E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شرط وجوب حد است، ولی واجب نیست</w:t>
      </w:r>
      <w:r w:rsidR="00F24D21" w:rsidRPr="00FD2D5E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بنابراین بین وجوب حضور و شرطیت حضور در باب اجرای حد حالت عموم خصوص من وجه است.</w:t>
      </w:r>
    </w:p>
    <w:p w:rsidR="00F24D21" w:rsidRPr="00FD2D5E" w:rsidRDefault="000740B0" w:rsidP="00872E39">
      <w:pPr>
        <w:pStyle w:val="Heading3"/>
        <w:rPr>
          <w:rFonts w:ascii="IRBadr" w:hAnsi="IRBadr" w:cs="IRBadr"/>
          <w:rtl/>
        </w:rPr>
      </w:pPr>
      <w:bookmarkStart w:id="4" w:name="_Toc427399120"/>
      <w:r w:rsidRPr="00FD2D5E">
        <w:rPr>
          <w:rFonts w:ascii="IRBadr" w:hAnsi="IRBadr" w:cs="IRBadr"/>
          <w:rtl/>
        </w:rPr>
        <w:t>تنقیح موضع بحث</w:t>
      </w:r>
      <w:bookmarkEnd w:id="4"/>
    </w:p>
    <w:p w:rsidR="0085642E" w:rsidRPr="00FD2D5E" w:rsidRDefault="00355503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بحثی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مطرح بود که اگر زنا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بابینه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ثابت شد،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شروع‌کننده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باید شهود باشند و اگر به غیر بینه با اقرار </w:t>
      </w:r>
      <w:r w:rsidR="0085642E" w:rsidRPr="00FD2D5E">
        <w:rPr>
          <w:rFonts w:ascii="IRBadr" w:hAnsi="IRBadr" w:cs="IRBadr"/>
          <w:sz w:val="28"/>
          <w:szCs w:val="28"/>
          <w:rtl/>
          <w:lang w:bidi="fa-IR"/>
        </w:rPr>
        <w:t xml:space="preserve">باشد، 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امام شروع می‌کند و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بعدازآن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مردم</w:t>
      </w:r>
      <w:r w:rsidR="0085642E" w:rsidRPr="00FD2D5E">
        <w:rPr>
          <w:rFonts w:ascii="IRBadr" w:hAnsi="IRBadr" w:cs="IRBadr"/>
          <w:sz w:val="28"/>
          <w:szCs w:val="28"/>
          <w:rtl/>
          <w:lang w:bidi="fa-IR"/>
        </w:rPr>
        <w:t>.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5642E" w:rsidRPr="00FD2D5E">
        <w:rPr>
          <w:rFonts w:ascii="IRBadr" w:hAnsi="IRBadr" w:cs="IRBadr"/>
          <w:sz w:val="28"/>
          <w:szCs w:val="28"/>
          <w:rtl/>
          <w:lang w:bidi="fa-IR"/>
        </w:rPr>
        <w:t>آن بحث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5642E" w:rsidRPr="00FD2D5E">
        <w:rPr>
          <w:rFonts w:ascii="IRBadr" w:hAnsi="IRBadr" w:cs="IRBadr"/>
          <w:sz w:val="28"/>
          <w:szCs w:val="28"/>
          <w:rtl/>
          <w:lang w:bidi="fa-IR"/>
        </w:rPr>
        <w:t>نیز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غیر از بحث وجوب حضور است.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به خاطر</w:t>
      </w:r>
      <w:r w:rsidR="0085642E"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5642E" w:rsidRPr="00FD2D5E">
        <w:rPr>
          <w:rFonts w:ascii="IRBadr" w:hAnsi="IRBadr" w:cs="IRBadr"/>
          <w:sz w:val="28"/>
          <w:szCs w:val="28"/>
          <w:rtl/>
          <w:lang w:bidi="fa-IR"/>
        </w:rPr>
        <w:t>حضور در آنجا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از باب مقدمه واجب است</w:t>
      </w:r>
      <w:r w:rsidR="0085642E" w:rsidRPr="00FD2D5E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وجوب</w:t>
      </w:r>
      <w:r w:rsidR="0085642E" w:rsidRPr="00FD2D5E">
        <w:rPr>
          <w:rFonts w:ascii="IRBadr" w:hAnsi="IRBadr" w:cs="IRBadr"/>
          <w:sz w:val="28"/>
          <w:szCs w:val="28"/>
          <w:rtl/>
          <w:lang w:bidi="fa-IR"/>
        </w:rPr>
        <w:t xml:space="preserve"> نفسی ندارد.</w:t>
      </w:r>
    </w:p>
    <w:p w:rsidR="006E7BA4" w:rsidRPr="00FD2D5E" w:rsidRDefault="006E7BA4" w:rsidP="00872E39">
      <w:pPr>
        <w:pStyle w:val="Heading3"/>
        <w:rPr>
          <w:rFonts w:ascii="IRBadr" w:hAnsi="IRBadr" w:cs="IRBadr"/>
          <w:rtl/>
        </w:rPr>
      </w:pPr>
      <w:bookmarkStart w:id="5" w:name="_Toc427399121"/>
      <w:r w:rsidRPr="00FD2D5E">
        <w:rPr>
          <w:rFonts w:ascii="IRBadr" w:hAnsi="IRBadr" w:cs="IRBadr"/>
          <w:rtl/>
        </w:rPr>
        <w:lastRenderedPageBreak/>
        <w:t>مبانی در این باب</w:t>
      </w:r>
      <w:bookmarkEnd w:id="5"/>
    </w:p>
    <w:p w:rsidR="0085642E" w:rsidRPr="00FD2D5E" w:rsidRDefault="00355503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اگر </w:t>
      </w:r>
      <w:r w:rsidR="0085642E" w:rsidRPr="00FD2D5E">
        <w:rPr>
          <w:rFonts w:ascii="IRBadr" w:hAnsi="IRBadr" w:cs="IRBadr"/>
          <w:sz w:val="28"/>
          <w:szCs w:val="28"/>
          <w:rtl/>
          <w:lang w:bidi="fa-IR"/>
        </w:rPr>
        <w:t xml:space="preserve">شک 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کنیم </w:t>
      </w:r>
      <w:r w:rsidR="0085642E" w:rsidRPr="00FD2D5E">
        <w:rPr>
          <w:rFonts w:ascii="IRBadr" w:hAnsi="IRBadr" w:cs="IRBadr"/>
          <w:sz w:val="28"/>
          <w:szCs w:val="28"/>
          <w:rtl/>
          <w:lang w:bidi="fa-IR"/>
        </w:rPr>
        <w:t>حضور شرط وجوب حد است یا نه؟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اصل عدم شرطیت است.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6E7BA4" w:rsidRPr="00FD2D5E">
        <w:rPr>
          <w:rFonts w:ascii="IRBadr" w:hAnsi="IRBadr" w:cs="IRBadr"/>
          <w:sz w:val="28"/>
          <w:szCs w:val="28"/>
          <w:rtl/>
          <w:lang w:bidi="fa-IR"/>
        </w:rPr>
        <w:t xml:space="preserve"> در اینجا شک در قیدیت است و برای نفی این قید، به اطلاقات و عمومات تمسک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6E7BA4" w:rsidRPr="00FD2D5E">
        <w:rPr>
          <w:rFonts w:ascii="IRBadr" w:hAnsi="IRBadr" w:cs="IRBadr"/>
          <w:sz w:val="28"/>
          <w:szCs w:val="28"/>
          <w:rtl/>
          <w:lang w:bidi="fa-IR"/>
        </w:rPr>
        <w:t>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6E7BA4" w:rsidRPr="00FD2D5E">
        <w:rPr>
          <w:rFonts w:ascii="IRBadr" w:hAnsi="IRBadr" w:cs="IRBadr"/>
          <w:sz w:val="28"/>
          <w:szCs w:val="28"/>
          <w:rtl/>
          <w:lang w:bidi="fa-IR"/>
        </w:rPr>
        <w:t xml:space="preserve"> هرگاه شک در قیدیت و شرطیت وجود داشته باشد،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6E7BA4" w:rsidRPr="00FD2D5E">
        <w:rPr>
          <w:rFonts w:ascii="IRBadr" w:hAnsi="IRBadr" w:cs="IRBadr"/>
          <w:sz w:val="28"/>
          <w:szCs w:val="28"/>
          <w:rtl/>
          <w:lang w:bidi="fa-IR"/>
        </w:rPr>
        <w:t xml:space="preserve"> اصالت الاطلاق تمسک خواهد شد. این دلیلی است که قاطبه فقها شیعه به آن قائل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="006E7BA4" w:rsidRPr="00FD2D5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E7BA4" w:rsidRPr="00FD2D5E" w:rsidRDefault="006E7BA4" w:rsidP="00872E39">
      <w:pPr>
        <w:pStyle w:val="Heading3"/>
        <w:rPr>
          <w:rFonts w:ascii="IRBadr" w:hAnsi="IRBadr" w:cs="IRBadr"/>
          <w:rtl/>
        </w:rPr>
      </w:pPr>
      <w:bookmarkStart w:id="6" w:name="_Toc427399122"/>
      <w:r w:rsidRPr="00FD2D5E">
        <w:rPr>
          <w:rFonts w:ascii="IRBadr" w:hAnsi="IRBadr" w:cs="IRBadr"/>
          <w:rtl/>
        </w:rPr>
        <w:t>قائلین به شرطیت</w:t>
      </w:r>
      <w:bookmarkEnd w:id="6"/>
    </w:p>
    <w:p w:rsidR="006E7BA4" w:rsidRPr="00FD2D5E" w:rsidRDefault="006E7BA4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>در مقابل قول بالا،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قائل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به‌نوعی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شرطیت برای حضور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E7BA4" w:rsidRPr="00FD2D5E" w:rsidRDefault="006E7BA4" w:rsidP="00872E39">
      <w:pPr>
        <w:pStyle w:val="Heading3"/>
        <w:rPr>
          <w:rFonts w:ascii="IRBadr" w:hAnsi="IRBadr" w:cs="IRBadr"/>
          <w:rtl/>
        </w:rPr>
      </w:pPr>
      <w:bookmarkStart w:id="7" w:name="_Toc427399123"/>
      <w:r w:rsidRPr="00FD2D5E">
        <w:rPr>
          <w:rFonts w:ascii="IRBadr" w:hAnsi="IRBadr" w:cs="IRBadr"/>
          <w:rtl/>
        </w:rPr>
        <w:t>اقوال در شرطیت</w:t>
      </w:r>
      <w:bookmarkEnd w:id="7"/>
    </w:p>
    <w:p w:rsidR="00CD6DAB" w:rsidRPr="00FD2D5E" w:rsidRDefault="006E7BA4" w:rsidP="00FD2D5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لکن در خود قائلین به شرطیت،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گروه‌های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مختلفی وجود دارد؛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مطلقاً</w:t>
      </w:r>
      <w:r w:rsidR="00CD6DAB" w:rsidRPr="00FD2D5E">
        <w:rPr>
          <w:rFonts w:ascii="IRBadr" w:hAnsi="IRBadr" w:cs="IRBadr"/>
          <w:sz w:val="28"/>
          <w:szCs w:val="28"/>
          <w:rtl/>
          <w:lang w:bidi="fa-IR"/>
        </w:rPr>
        <w:t xml:space="preserve"> قائل به شرطیت</w:t>
      </w:r>
      <w:r w:rsidR="00FD2D5E">
        <w:rPr>
          <w:rFonts w:ascii="IRBadr" w:hAnsi="IRBadr" w:cs="IRBadr" w:hint="cs"/>
          <w:sz w:val="28"/>
          <w:szCs w:val="28"/>
          <w:rtl/>
          <w:lang w:bidi="fa-IR"/>
        </w:rPr>
        <w:t>‌ا</w:t>
      </w:r>
      <w:r w:rsidR="00CD6DAB" w:rsidRPr="00FD2D5E">
        <w:rPr>
          <w:rFonts w:ascii="IRBadr" w:hAnsi="IRBadr" w:cs="IRBadr"/>
          <w:sz w:val="28"/>
          <w:szCs w:val="28"/>
          <w:rtl/>
          <w:lang w:bidi="fa-IR"/>
        </w:rPr>
        <w:t xml:space="preserve">ند، این همان قولی است که ابی حنیفه به </w:t>
      </w:r>
      <w:r w:rsidR="00FD2D5E">
        <w:rPr>
          <w:rFonts w:ascii="IRBadr" w:hAnsi="IRBadr" w:cs="IRBadr" w:hint="cs"/>
          <w:sz w:val="28"/>
          <w:szCs w:val="28"/>
          <w:rtl/>
          <w:lang w:bidi="fa-IR"/>
        </w:rPr>
        <w:t>آ</w:t>
      </w:r>
      <w:r w:rsidR="00CD6DAB" w:rsidRPr="00FD2D5E">
        <w:rPr>
          <w:rFonts w:ascii="IRBadr" w:hAnsi="IRBadr" w:cs="IRBadr"/>
          <w:sz w:val="28"/>
          <w:szCs w:val="28"/>
          <w:rtl/>
          <w:lang w:bidi="fa-IR"/>
        </w:rPr>
        <w:t>ن قائل است و در میان خاصه قائلی نسبت به آن وجود ندارد. برخی دیگر معتقدند حضور شرط است،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CD6DAB"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درصورتی‌که</w:t>
      </w:r>
      <w:r w:rsidR="00CD6DAB" w:rsidRPr="00FD2D5E">
        <w:rPr>
          <w:rFonts w:ascii="IRBadr" w:hAnsi="IRBadr" w:cs="IRBadr"/>
          <w:sz w:val="28"/>
          <w:szCs w:val="28"/>
          <w:rtl/>
          <w:lang w:bidi="fa-IR"/>
        </w:rPr>
        <w:t xml:space="preserve"> شهاد بعد از شهادت فرار کردند،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CD6DAB" w:rsidRPr="00FD2D5E">
        <w:rPr>
          <w:rFonts w:ascii="IRBadr" w:hAnsi="IRBadr" w:cs="IRBadr"/>
          <w:sz w:val="28"/>
          <w:szCs w:val="28"/>
          <w:rtl/>
          <w:lang w:bidi="fa-IR"/>
        </w:rPr>
        <w:t xml:space="preserve"> اینجا حد ثابت نخواهد شد، چراکه همین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CD6DAB"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="00CD6DAB" w:rsidRPr="00FD2D5E">
        <w:rPr>
          <w:rFonts w:ascii="IRBadr" w:hAnsi="IRBadr" w:cs="IRBadr"/>
          <w:sz w:val="28"/>
          <w:szCs w:val="28"/>
          <w:rtl/>
          <w:lang w:bidi="fa-IR"/>
        </w:rPr>
        <w:t xml:space="preserve"> بر این باشد که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CD6DAB" w:rsidRPr="00FD2D5E">
        <w:rPr>
          <w:rFonts w:ascii="IRBadr" w:hAnsi="IRBadr" w:cs="IRBadr"/>
          <w:sz w:val="28"/>
          <w:szCs w:val="28"/>
          <w:rtl/>
          <w:lang w:bidi="fa-IR"/>
        </w:rPr>
        <w:t xml:space="preserve"> شهادت خود را قبول ندارند و عدم حضورشان موجب ایجاد شبهه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CD6DAB" w:rsidRPr="00FD2D5E">
        <w:rPr>
          <w:rFonts w:ascii="IRBadr" w:hAnsi="IRBadr" w:cs="IRBadr"/>
          <w:sz w:val="28"/>
          <w:szCs w:val="28"/>
          <w:rtl/>
          <w:lang w:bidi="fa-IR"/>
        </w:rPr>
        <w:t>.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CD6DAB" w:rsidRPr="00FD2D5E">
        <w:rPr>
          <w:rFonts w:ascii="IRBadr" w:hAnsi="IRBadr" w:cs="IRBadr"/>
          <w:sz w:val="28"/>
          <w:szCs w:val="28"/>
          <w:rtl/>
          <w:lang w:bidi="fa-IR"/>
        </w:rPr>
        <w:t xml:space="preserve"> اگر در شهر باشند،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حضورشان</w:t>
      </w:r>
      <w:r w:rsidR="00CD6DAB" w:rsidRPr="00FD2D5E">
        <w:rPr>
          <w:rFonts w:ascii="IRBadr" w:hAnsi="IRBadr" w:cs="IRBadr"/>
          <w:sz w:val="28"/>
          <w:szCs w:val="28"/>
          <w:rtl/>
          <w:lang w:bidi="fa-IR"/>
        </w:rPr>
        <w:t xml:space="preserve"> شرط نیست.</w:t>
      </w:r>
    </w:p>
    <w:p w:rsidR="00CD6DAB" w:rsidRPr="00FD2D5E" w:rsidRDefault="00CD6DAB" w:rsidP="00872E39">
      <w:pPr>
        <w:pStyle w:val="Heading4"/>
        <w:rPr>
          <w:rFonts w:ascii="IRBadr" w:hAnsi="IRBadr" w:cs="IRBadr"/>
          <w:rtl/>
        </w:rPr>
      </w:pPr>
      <w:bookmarkStart w:id="8" w:name="_Toc427399124"/>
      <w:r w:rsidRPr="00FD2D5E">
        <w:rPr>
          <w:rFonts w:ascii="IRBadr" w:hAnsi="IRBadr" w:cs="IRBadr"/>
          <w:rtl/>
        </w:rPr>
        <w:t>اتخاذ مبنا</w:t>
      </w:r>
      <w:bookmarkEnd w:id="8"/>
    </w:p>
    <w:p w:rsidR="00CD6DAB" w:rsidRPr="00FD2D5E" w:rsidRDefault="00CD6DAB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اما باید در قبال این قول توجه داشت که همیشه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نیست که رفتن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پس از شهادت دلالت بر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ضعف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شهادت کند،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از طرفی ممکن است فرار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به خاطر دور شدن از ایذاء خویشاوندان شخص مورد حد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باشد،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اینکه مطلق غیبت بخواهد تولید شبهه کند و قاعده </w:t>
      </w:r>
      <w:r w:rsidR="00FD2D5E">
        <w:rPr>
          <w:rFonts w:ascii="IRBadr" w:hAnsi="IRBadr" w:cs="IRBadr"/>
          <w:sz w:val="28"/>
          <w:szCs w:val="28"/>
          <w:rtl/>
          <w:lang w:bidi="fa-IR"/>
        </w:rPr>
        <w:t>درء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اجرا گردد،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جای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تردید در آن وجود دارد.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بله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احیاناً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موجب شبهه شود.</w:t>
      </w:r>
    </w:p>
    <w:p w:rsidR="00F01FD6" w:rsidRPr="00FD2D5E" w:rsidRDefault="00F01FD6" w:rsidP="00872E39">
      <w:pPr>
        <w:pStyle w:val="Heading4"/>
        <w:rPr>
          <w:rFonts w:ascii="IRBadr" w:hAnsi="IRBadr" w:cs="IRBadr"/>
          <w:rtl/>
        </w:rPr>
      </w:pPr>
      <w:bookmarkStart w:id="9" w:name="_Toc427399125"/>
      <w:r w:rsidRPr="00FD2D5E">
        <w:rPr>
          <w:rFonts w:ascii="IRBadr" w:hAnsi="IRBadr" w:cs="IRBadr"/>
          <w:rtl/>
        </w:rPr>
        <w:t xml:space="preserve">نقش قاعده </w:t>
      </w:r>
      <w:r w:rsidR="00FD2D5E">
        <w:rPr>
          <w:rFonts w:ascii="IRBadr" w:hAnsi="IRBadr" w:cs="IRBadr"/>
          <w:rtl/>
        </w:rPr>
        <w:t>درء</w:t>
      </w:r>
      <w:r w:rsidRPr="00FD2D5E">
        <w:rPr>
          <w:rFonts w:ascii="IRBadr" w:hAnsi="IRBadr" w:cs="IRBadr"/>
          <w:rtl/>
        </w:rPr>
        <w:t xml:space="preserve"> در این مقام</w:t>
      </w:r>
      <w:bookmarkEnd w:id="9"/>
    </w:p>
    <w:p w:rsidR="00F01FD6" w:rsidRPr="00FD2D5E" w:rsidRDefault="00355503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>قاعده ت</w:t>
      </w:r>
      <w:r w:rsidR="00FD2D5E">
        <w:rPr>
          <w:rFonts w:ascii="IRBadr" w:hAnsi="IRBadr" w:cs="IRBadr"/>
          <w:sz w:val="28"/>
          <w:szCs w:val="28"/>
          <w:rtl/>
          <w:lang w:bidi="fa-IR"/>
        </w:rPr>
        <w:t>درء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الحدود </w:t>
      </w:r>
      <w:r w:rsidR="00CD6DAB" w:rsidRPr="00FD2D5E">
        <w:rPr>
          <w:rFonts w:ascii="IRBadr" w:hAnsi="IRBadr" w:cs="IRBadr"/>
          <w:sz w:val="28"/>
          <w:szCs w:val="28"/>
          <w:rtl/>
          <w:lang w:bidi="fa-IR"/>
        </w:rPr>
        <w:t xml:space="preserve">نقشش همین بود. 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آقای خویی می‌فرمودند، ت</w:t>
      </w:r>
      <w:r w:rsidR="00FD2D5E">
        <w:rPr>
          <w:rFonts w:ascii="IRBadr" w:hAnsi="IRBadr" w:cs="IRBadr"/>
          <w:sz w:val="28"/>
          <w:szCs w:val="28"/>
          <w:rtl/>
          <w:lang w:bidi="fa-IR"/>
        </w:rPr>
        <w:t>درء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الحدود هیچ بار جدیدی در باب حدود ایجاد نمی‌کند.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مثل بقیه موارد است. هر جا که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باشد </w:t>
      </w:r>
      <w:r w:rsidR="00CD6DAB" w:rsidRPr="00FD2D5E">
        <w:rPr>
          <w:rFonts w:ascii="IRBadr" w:hAnsi="IRBadr" w:cs="IRBadr"/>
          <w:sz w:val="28"/>
          <w:szCs w:val="28"/>
          <w:rtl/>
          <w:lang w:bidi="fa-IR"/>
        </w:rPr>
        <w:t>و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واق</w:t>
      </w:r>
      <w:r w:rsidR="00CD6DAB" w:rsidRPr="00FD2D5E">
        <w:rPr>
          <w:rFonts w:ascii="IRBadr" w:hAnsi="IRBadr" w:cs="IRBadr"/>
          <w:sz w:val="28"/>
          <w:szCs w:val="28"/>
          <w:rtl/>
          <w:lang w:bidi="fa-IR"/>
        </w:rPr>
        <w:t>عاً شهادت طبق قواعد مقبول نباشد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>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جای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 xml:space="preserve"> این قاعده خواهد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بود. ولی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ما و بزرگان دیگری مثل آقای گلپایگانی پذیرفتند، این بود که در باب حدود 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>امری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فراتر از قواعد 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دیگر 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داریم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01FD6" w:rsidRPr="00FD2D5E" w:rsidRDefault="0025365A" w:rsidP="00872E39">
      <w:pPr>
        <w:pStyle w:val="Heading3"/>
        <w:rPr>
          <w:rFonts w:ascii="IRBadr" w:hAnsi="IRBadr" w:cs="IRBadr"/>
          <w:rtl/>
        </w:rPr>
      </w:pPr>
      <w:bookmarkStart w:id="10" w:name="_Toc427399126"/>
      <w:r w:rsidRPr="00FD2D5E">
        <w:rPr>
          <w:rFonts w:ascii="IRBadr" w:hAnsi="IRBadr" w:cs="IRBadr"/>
          <w:rtl/>
        </w:rPr>
        <w:lastRenderedPageBreak/>
        <w:t>جمع‌بندی</w:t>
      </w:r>
      <w:bookmarkEnd w:id="10"/>
    </w:p>
    <w:p w:rsidR="00F01FD6" w:rsidRPr="00FD2D5E" w:rsidRDefault="0025365A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قاعده صرف دور شدن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دلیلی بر سقوط حد باشد.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در اینجا 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به قرائن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و شواهد توجه داشت که به چه سمتی بیشتر سوق پیدا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>.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ظهور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پیداشده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در اینجا باید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اساساً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ظهور معتبری باشد،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طرفی نیز دلیلی در اینجا وجود ندارد که قائل باشد 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به‌صراحت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حد ساقط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01FD6" w:rsidRPr="00FD2D5E" w:rsidRDefault="00355503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>نباید از آن استفاده مطلق کرد. پس دلیل اول اخص از مدعاست.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عرف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باید در اینجا قضاوت کند که نوع رفتن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بیشتر به چه سمتی دلالت دارد؟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پس برخلاف آنچه آقای خویی قائل هستند که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بودونبود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قاعده </w:t>
      </w:r>
      <w:r w:rsidR="00FD2D5E">
        <w:rPr>
          <w:rFonts w:ascii="IRBadr" w:hAnsi="IRBadr" w:cs="IRBadr"/>
          <w:sz w:val="28"/>
          <w:szCs w:val="28"/>
          <w:rtl/>
          <w:lang w:bidi="fa-IR"/>
        </w:rPr>
        <w:t>درء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چندان تفاوتی ندارد،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جایی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به وجود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آمد باید به سراغ این قاعده رفت.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 xml:space="preserve"> به این امر قائل شده که حد در اینجا جاری نخواهد شد و سقوط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F01FD6" w:rsidRPr="00FD2D5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01FD6" w:rsidRPr="00FD2D5E" w:rsidRDefault="00F01FD6" w:rsidP="00872E39">
      <w:pPr>
        <w:pStyle w:val="Heading2"/>
        <w:rPr>
          <w:rFonts w:ascii="IRBadr" w:hAnsi="IRBadr" w:cs="IRBadr"/>
          <w:rtl/>
        </w:rPr>
      </w:pPr>
      <w:bookmarkStart w:id="11" w:name="_Toc427399127"/>
      <w:r w:rsidRPr="00FD2D5E">
        <w:rPr>
          <w:rFonts w:ascii="IRBadr" w:hAnsi="IRBadr" w:cs="IRBadr"/>
          <w:rtl/>
        </w:rPr>
        <w:t>دلیل دوم</w:t>
      </w:r>
      <w:bookmarkEnd w:id="11"/>
    </w:p>
    <w:p w:rsidR="00536EB4" w:rsidRPr="00FD2D5E" w:rsidRDefault="00F01FD6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دومین دلیل برای اینکه اگر شهاد رفتند دیگر حد جاری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روایتی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است که </w:t>
      </w:r>
      <w:r w:rsidR="00355503" w:rsidRPr="00FD2D5E">
        <w:rPr>
          <w:rFonts w:ascii="IRBadr" w:hAnsi="IRBadr" w:cs="IRBadr"/>
          <w:sz w:val="28"/>
          <w:szCs w:val="28"/>
          <w:rtl/>
          <w:lang w:bidi="fa-IR"/>
        </w:rPr>
        <w:t>در باب سی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،</w:t>
      </w:r>
      <w:r w:rsidR="00355503" w:rsidRPr="00FD2D5E">
        <w:rPr>
          <w:rFonts w:ascii="IRBadr" w:hAnsi="IRBadr" w:cs="IRBadr"/>
          <w:sz w:val="28"/>
          <w:szCs w:val="28"/>
          <w:rtl/>
          <w:lang w:bidi="fa-IR"/>
        </w:rPr>
        <w:t xml:space="preserve"> جلد هیجده ابواب مقدمات حدود، باب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سی‌وسه</w:t>
      </w:r>
      <w:r w:rsidR="00355503" w:rsidRPr="00FD2D5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36EB4" w:rsidRPr="00FD2D5E">
        <w:rPr>
          <w:rFonts w:ascii="IRBadr" w:hAnsi="IRBadr" w:cs="IRBadr"/>
          <w:sz w:val="28"/>
          <w:szCs w:val="28"/>
          <w:rtl/>
          <w:lang w:bidi="fa-IR"/>
        </w:rPr>
        <w:t xml:space="preserve">حدیث دوم، صفحه سیصد و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چهل‌وپنج</w:t>
      </w:r>
      <w:r w:rsidR="00536EB4" w:rsidRPr="00FD2D5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536EB4" w:rsidRPr="00FD2D5E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536EB4" w:rsidRPr="00FD2D5E" w:rsidRDefault="00536EB4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دو نفر شهادت دادند در قبال فرد دیگری که او چیزی را دزدیده است، آن فرد سوگند خورد و محاجه کرد که به خدا قسم اگر رسول خدا زنده بود دست مرا قطع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نمی‌کرد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اصرار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او موجب تردید شد لذا حضرت دو شاهد را خواست، به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اصرار کرد که دروغ نگویید. وقتی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بر شهادت خود اصرار کردند حضرت فرمود یکی از شما دست او را گرفته و دیگری دست او را قطع کنید،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الزامی در این امر نیست که خود شاهد مجری حد نیز باشد.</w:t>
      </w:r>
    </w:p>
    <w:p w:rsidR="00C04F9E" w:rsidRPr="00FD2D5E" w:rsidRDefault="00536EB4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>وقتی جمعیت شلوغ شد،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خاطر اینکه نوع درخواست حضرت دربردارنده ردعی بود،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آن‌ها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جمعیت را هل داده و پا به فرار گذاشتند،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حضرت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فرمودند اگر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صادق بودند پا به فرار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نمی‌گذاشتند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.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پس‌ازآن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حضرت فرمودند اگر کسی آن دو نفر را پیدا کند،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آن‌ها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را عقاب خواهم کرد.</w:t>
      </w:r>
    </w:p>
    <w:p w:rsidR="0042121D" w:rsidRPr="00FD2D5E" w:rsidRDefault="0025365A" w:rsidP="00872E39">
      <w:pPr>
        <w:pStyle w:val="Heading2"/>
        <w:rPr>
          <w:rFonts w:ascii="IRBadr" w:hAnsi="IRBadr" w:cs="IRBadr"/>
          <w:szCs w:val="28"/>
          <w:rtl/>
        </w:rPr>
      </w:pPr>
      <w:bookmarkStart w:id="12" w:name="_Toc427399128"/>
      <w:r w:rsidRPr="00FD2D5E">
        <w:rPr>
          <w:rFonts w:ascii="IRBadr" w:hAnsi="IRBadr" w:cs="IRBadr"/>
          <w:rtl/>
        </w:rPr>
        <w:t>جمع‌بندی</w:t>
      </w:r>
      <w:bookmarkEnd w:id="12"/>
    </w:p>
    <w:p w:rsidR="00536EB4" w:rsidRPr="00FD2D5E" w:rsidRDefault="00536EB4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در اینجا چون شهادت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به‌دروغ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از 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صادرشده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بود و این امر از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کبایر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بود،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جای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تعزیر از جانب حاکم وجود دارد. این هم روایتی با سند معتبر است </w:t>
      </w:r>
      <w:r w:rsidR="0042121D" w:rsidRPr="00FD2D5E">
        <w:rPr>
          <w:rFonts w:ascii="IRBadr" w:hAnsi="IRBadr" w:cs="IRBadr"/>
          <w:sz w:val="28"/>
          <w:szCs w:val="28"/>
          <w:rtl/>
          <w:lang w:bidi="fa-IR"/>
        </w:rPr>
        <w:t>که دلالت بر مدعای فوق دارد.</w:t>
      </w:r>
      <w:r w:rsidR="00F4464F" w:rsidRPr="00FD2D5E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42121D" w:rsidRPr="00FD2D5E">
        <w:rPr>
          <w:rFonts w:ascii="IRBadr" w:hAnsi="IRBadr" w:cs="IRBadr"/>
          <w:sz w:val="28"/>
          <w:szCs w:val="28"/>
          <w:rtl/>
          <w:lang w:bidi="fa-IR"/>
        </w:rPr>
        <w:t xml:space="preserve"> این روایت قرینه بر این بود که مطلق فرار موجب دفع حد نخواهد شد.</w:t>
      </w:r>
    </w:p>
    <w:p w:rsidR="0042121D" w:rsidRPr="00FD2D5E" w:rsidRDefault="0042121D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355503" w:rsidRPr="00FD2D5E" w:rsidRDefault="00355503" w:rsidP="00C04F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D2D5E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نتیجه دوم این است که دلیلی بر شرطیت حضور برای وجوب حد نداریم و سوم اینکه اگر فرار یا </w:t>
      </w:r>
      <w:r w:rsidR="0042121D" w:rsidRPr="00FD2D5E">
        <w:rPr>
          <w:rFonts w:ascii="IRBadr" w:hAnsi="IRBadr" w:cs="IRBadr"/>
          <w:sz w:val="28"/>
          <w:szCs w:val="28"/>
          <w:rtl/>
          <w:lang w:bidi="fa-IR"/>
        </w:rPr>
        <w:t>امر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دیگری غیر از فرار</w:t>
      </w:r>
      <w:r w:rsidR="0042121D" w:rsidRPr="00FD2D5E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ولی مفید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در کار باشد</w:t>
      </w:r>
      <w:r w:rsidR="0042121D" w:rsidRPr="00FD2D5E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2121D" w:rsidRPr="00FD2D5E">
        <w:rPr>
          <w:rFonts w:ascii="IRBadr" w:hAnsi="IRBadr" w:cs="IRBadr"/>
          <w:sz w:val="28"/>
          <w:szCs w:val="28"/>
          <w:rtl/>
          <w:lang w:bidi="fa-IR"/>
        </w:rPr>
        <w:t xml:space="preserve">مطمئن 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شویم نوعی رجوع از شهادت است، اینجا حد جاری نمی‌شود. من</w:t>
      </w:r>
      <w:r w:rsidR="0042121D" w:rsidRPr="00FD2D5E">
        <w:rPr>
          <w:rFonts w:ascii="IRBadr" w:hAnsi="IRBadr" w:cs="IRBadr"/>
          <w:sz w:val="28"/>
          <w:szCs w:val="28"/>
          <w:rtl/>
          <w:lang w:bidi="fa-IR"/>
        </w:rPr>
        <w:t xml:space="preserve">تها این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="0042121D" w:rsidRPr="00FD2D5E">
        <w:rPr>
          <w:rFonts w:ascii="IRBadr" w:hAnsi="IRBadr" w:cs="IRBadr"/>
          <w:sz w:val="28"/>
          <w:szCs w:val="28"/>
          <w:rtl/>
          <w:lang w:bidi="fa-IR"/>
        </w:rPr>
        <w:t xml:space="preserve"> است که تولید شبهه 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کند، چه فرار چه غیر فرار</w:t>
      </w:r>
      <w:r w:rsidR="0042121D" w:rsidRPr="00FD2D5E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القای خصوصیت می‌شود.</w:t>
      </w:r>
      <w:r w:rsidR="0042121D"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بر اساس این روایت و قاعده ت</w:t>
      </w:r>
      <w:r w:rsidR="00FD2D5E">
        <w:rPr>
          <w:rFonts w:ascii="IRBadr" w:hAnsi="IRBadr" w:cs="IRBadr"/>
          <w:sz w:val="28"/>
          <w:szCs w:val="28"/>
          <w:rtl/>
          <w:lang w:bidi="fa-IR"/>
        </w:rPr>
        <w:t>درء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اینجا حد جاری نمی‌شود و فرق نمی‌کند </w:t>
      </w:r>
      <w:r w:rsidR="0042121D" w:rsidRPr="00FD2D5E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سرقت یا غیر سرقت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هرجایی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که فرار شاهد موجب </w:t>
      </w:r>
      <w:r w:rsidR="0025365A" w:rsidRPr="00FD2D5E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2121D" w:rsidRPr="00FD2D5E">
        <w:rPr>
          <w:rFonts w:ascii="IRBadr" w:hAnsi="IRBadr" w:cs="IRBadr"/>
          <w:sz w:val="28"/>
          <w:szCs w:val="28"/>
          <w:rtl/>
          <w:lang w:bidi="fa-IR"/>
        </w:rPr>
        <w:t>بشود</w:t>
      </w:r>
      <w:r w:rsidRPr="00FD2D5E">
        <w:rPr>
          <w:rFonts w:ascii="IRBadr" w:hAnsi="IRBadr" w:cs="IRBadr"/>
          <w:sz w:val="28"/>
          <w:szCs w:val="28"/>
          <w:rtl/>
          <w:lang w:bidi="fa-IR"/>
        </w:rPr>
        <w:t>، حد جاری نمی‌شود. اما اگر شبهه در کار نباشد، حد جاری می‌شود، ولو شهود نباشند.</w:t>
      </w:r>
    </w:p>
    <w:p w:rsidR="00152670" w:rsidRPr="00FD2D5E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FD2D5E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A9B" w:rsidRDefault="00FD1A9B" w:rsidP="000D5800">
      <w:pPr>
        <w:spacing w:after="0" w:line="240" w:lineRule="auto"/>
      </w:pPr>
      <w:r>
        <w:separator/>
      </w:r>
    </w:p>
  </w:endnote>
  <w:endnote w:type="continuationSeparator" w:id="0">
    <w:p w:rsidR="00FD1A9B" w:rsidRDefault="00FD1A9B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64F" w:rsidRDefault="00F446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64F" w:rsidRDefault="00F446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64F" w:rsidRDefault="00F446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A9B" w:rsidRDefault="00FD1A9B" w:rsidP="000D5800">
      <w:pPr>
        <w:spacing w:after="0" w:line="240" w:lineRule="auto"/>
      </w:pPr>
      <w:r>
        <w:separator/>
      </w:r>
    </w:p>
  </w:footnote>
  <w:footnote w:type="continuationSeparator" w:id="0">
    <w:p w:rsidR="00FD1A9B" w:rsidRDefault="00FD1A9B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64F" w:rsidRDefault="00F446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355503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894778C" wp14:editId="22BB26E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8F2200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  <w:lang w:bidi="fa-IR"/>
      </w:rPr>
      <w:drawing>
        <wp:inline distT="0" distB="0" distL="0" distR="0" wp14:anchorId="00D12F9D" wp14:editId="741C4185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F4464F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355503">
      <w:rPr>
        <w:rFonts w:ascii="IranNastaliq" w:hAnsi="IranNastaliq" w:cs="IranNastaliq" w:hint="cs"/>
        <w:sz w:val="40"/>
        <w:szCs w:val="40"/>
        <w:rtl/>
      </w:rPr>
      <w:t>785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64F" w:rsidRDefault="00F446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503"/>
    <w:rsid w:val="0001304A"/>
    <w:rsid w:val="000228A2"/>
    <w:rsid w:val="000324F1"/>
    <w:rsid w:val="00041FE0"/>
    <w:rsid w:val="00052BA3"/>
    <w:rsid w:val="0006363E"/>
    <w:rsid w:val="000740B0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5365A"/>
    <w:rsid w:val="00270294"/>
    <w:rsid w:val="002914BD"/>
    <w:rsid w:val="00297263"/>
    <w:rsid w:val="002C56FD"/>
    <w:rsid w:val="002D49E4"/>
    <w:rsid w:val="002E450B"/>
    <w:rsid w:val="002E73F9"/>
    <w:rsid w:val="002F05B9"/>
    <w:rsid w:val="00330407"/>
    <w:rsid w:val="00340BA3"/>
    <w:rsid w:val="0035550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2121D"/>
    <w:rsid w:val="0044591E"/>
    <w:rsid w:val="00456B12"/>
    <w:rsid w:val="004651D2"/>
    <w:rsid w:val="00465D26"/>
    <w:rsid w:val="004679F8"/>
    <w:rsid w:val="00495ADB"/>
    <w:rsid w:val="004B337F"/>
    <w:rsid w:val="004F3596"/>
    <w:rsid w:val="00536EB4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A085A"/>
    <w:rsid w:val="006D3A87"/>
    <w:rsid w:val="006E7BA4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25C2E"/>
    <w:rsid w:val="008407A4"/>
    <w:rsid w:val="00844860"/>
    <w:rsid w:val="00845CC4"/>
    <w:rsid w:val="0085642E"/>
    <w:rsid w:val="008644F4"/>
    <w:rsid w:val="00872E39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5647F"/>
    <w:rsid w:val="00A725C2"/>
    <w:rsid w:val="00A769EE"/>
    <w:rsid w:val="00A810A5"/>
    <w:rsid w:val="00A9616A"/>
    <w:rsid w:val="00A96F68"/>
    <w:rsid w:val="00AA2342"/>
    <w:rsid w:val="00AA4064"/>
    <w:rsid w:val="00AD0304"/>
    <w:rsid w:val="00AD27BE"/>
    <w:rsid w:val="00AF0F1A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04F9E"/>
    <w:rsid w:val="00C160AF"/>
    <w:rsid w:val="00C22299"/>
    <w:rsid w:val="00C25609"/>
    <w:rsid w:val="00C262D7"/>
    <w:rsid w:val="00C26607"/>
    <w:rsid w:val="00C320EF"/>
    <w:rsid w:val="00C60D75"/>
    <w:rsid w:val="00C64CEA"/>
    <w:rsid w:val="00C73012"/>
    <w:rsid w:val="00C763DD"/>
    <w:rsid w:val="00C84FC0"/>
    <w:rsid w:val="00C9244A"/>
    <w:rsid w:val="00CB5DA3"/>
    <w:rsid w:val="00CD6DAB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90182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0C11"/>
    <w:rsid w:val="00E6283A"/>
    <w:rsid w:val="00E732A3"/>
    <w:rsid w:val="00E83A85"/>
    <w:rsid w:val="00E90FC4"/>
    <w:rsid w:val="00EA01EC"/>
    <w:rsid w:val="00EA15B0"/>
    <w:rsid w:val="00EA5D97"/>
    <w:rsid w:val="00EA7F3B"/>
    <w:rsid w:val="00EC4393"/>
    <w:rsid w:val="00EE1C07"/>
    <w:rsid w:val="00EE2C91"/>
    <w:rsid w:val="00EE3979"/>
    <w:rsid w:val="00EF138C"/>
    <w:rsid w:val="00F01FD6"/>
    <w:rsid w:val="00F034CE"/>
    <w:rsid w:val="00F10A0F"/>
    <w:rsid w:val="00F24D21"/>
    <w:rsid w:val="00F40284"/>
    <w:rsid w:val="00F4464F"/>
    <w:rsid w:val="00F67976"/>
    <w:rsid w:val="00F70BE1"/>
    <w:rsid w:val="00FC0862"/>
    <w:rsid w:val="00FC70FB"/>
    <w:rsid w:val="00FD143D"/>
    <w:rsid w:val="00FD1A9B"/>
    <w:rsid w:val="00FD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35550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72E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35550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72E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E01C3-7DE4-45C9-BA55-242F5D3C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189</TotalTime>
  <Pages>5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11</cp:revision>
  <dcterms:created xsi:type="dcterms:W3CDTF">2014-12-20T10:17:00Z</dcterms:created>
  <dcterms:modified xsi:type="dcterms:W3CDTF">2015-08-15T06:19:00Z</dcterms:modified>
</cp:coreProperties>
</file>